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E26AA7" w:rsidRDefault="00E13E6B" w:rsidP="00E26AA7">
      <w:pPr>
        <w:ind w:left="2835" w:right="1843" w:hanging="992"/>
        <w:jc w:val="both"/>
        <w:rPr>
          <w:rFonts w:ascii="Tahoma" w:hAnsi="Tahoma" w:cs="Tahoma"/>
          <w:i/>
          <w:sz w:val="18"/>
          <w:szCs w:val="18"/>
        </w:rPr>
      </w:pPr>
      <w:r w:rsidRPr="00E26AA7">
        <w:rPr>
          <w:rFonts w:ascii="Tahoma" w:hAnsi="Tahoma" w:cs="Tahoma"/>
          <w:b/>
          <w:i/>
          <w:sz w:val="18"/>
          <w:szCs w:val="18"/>
        </w:rPr>
        <w:t xml:space="preserve">Sumilla: </w:t>
      </w:r>
      <w:r w:rsidR="00635F2E" w:rsidRPr="00E26AA7">
        <w:rPr>
          <w:rFonts w:ascii="Tahoma" w:hAnsi="Tahoma" w:cs="Tahoma"/>
          <w:b/>
          <w:i/>
          <w:sz w:val="18"/>
          <w:szCs w:val="18"/>
        </w:rPr>
        <w:t>“</w:t>
      </w:r>
      <w:r w:rsidR="00E26AA7" w:rsidRPr="00E26AA7">
        <w:rPr>
          <w:rFonts w:ascii="Tahoma" w:hAnsi="Tahoma" w:cs="Tahoma"/>
          <w:i/>
          <w:sz w:val="18"/>
          <w:szCs w:val="18"/>
        </w:rPr>
        <w:t>Carece de objeto que este Tribunal emita pronunciamiento respecto de la supuesta responsabilidad de la empresa JUMDI S.A.C., por la comisión de la infracción imputada, toda vez que ésta ha sido sancionada definitivamente en sus derechos para participar en procesos de selección y contratar con el Estado.</w:t>
      </w:r>
      <w:r w:rsidR="00635F2E" w:rsidRPr="00E26AA7">
        <w:rPr>
          <w:rFonts w:ascii="Tahoma" w:hAnsi="Tahoma" w:cs="Tahoma"/>
          <w:i/>
          <w:sz w:val="18"/>
          <w:szCs w:val="18"/>
        </w:rPr>
        <w:t>”.</w:t>
      </w:r>
    </w:p>
    <w:p w:rsidR="00E13E6B" w:rsidRPr="00E26AA7" w:rsidRDefault="00E13E6B" w:rsidP="00E26AA7">
      <w:pPr>
        <w:ind w:left="2268" w:right="1843"/>
        <w:jc w:val="both"/>
        <w:rPr>
          <w:rFonts w:ascii="Tahoma" w:hAnsi="Tahoma" w:cs="Tahoma"/>
          <w:b/>
          <w:i/>
          <w:sz w:val="20"/>
          <w:szCs w:val="20"/>
          <w:highlight w:val="yellow"/>
        </w:rPr>
      </w:pPr>
    </w:p>
    <w:p w:rsidR="00E13E6B" w:rsidRPr="00E26AA7" w:rsidRDefault="00E13E6B" w:rsidP="00E26AA7">
      <w:pPr>
        <w:pStyle w:val="Textoindependiente3"/>
        <w:ind w:left="4956" w:firstLine="708"/>
        <w:jc w:val="both"/>
        <w:rPr>
          <w:rFonts w:ascii="Tahoma" w:hAnsi="Tahoma" w:cs="Tahoma"/>
        </w:rPr>
      </w:pPr>
      <w:r w:rsidRPr="00E26AA7">
        <w:rPr>
          <w:rFonts w:ascii="Tahoma" w:hAnsi="Tahoma" w:cs="Tahoma"/>
        </w:rPr>
        <w:t xml:space="preserve">Lima, </w:t>
      </w:r>
      <w:r w:rsidR="00282148">
        <w:rPr>
          <w:rFonts w:ascii="Tahoma" w:hAnsi="Tahoma" w:cs="Tahoma"/>
        </w:rPr>
        <w:t>08 de Junio de 2011</w:t>
      </w:r>
    </w:p>
    <w:p w:rsidR="00E13E6B" w:rsidRPr="00E26AA7" w:rsidRDefault="00E13E6B" w:rsidP="00E26AA7">
      <w:pPr>
        <w:pStyle w:val="Textoindependiente3"/>
        <w:jc w:val="both"/>
        <w:rPr>
          <w:rFonts w:ascii="Tahoma" w:hAnsi="Tahoma" w:cs="Tahoma"/>
          <w:b w:val="0"/>
          <w:lang w:val="es-ES"/>
        </w:rPr>
      </w:pPr>
    </w:p>
    <w:p w:rsidR="00E13E6B" w:rsidRPr="00E26AA7" w:rsidRDefault="00E13E6B" w:rsidP="00E26AA7">
      <w:pPr>
        <w:ind w:firstLine="708"/>
        <w:jc w:val="both"/>
        <w:rPr>
          <w:rFonts w:ascii="Tahoma" w:hAnsi="Tahoma" w:cs="Tahoma"/>
          <w:sz w:val="20"/>
          <w:szCs w:val="20"/>
        </w:rPr>
      </w:pPr>
      <w:r w:rsidRPr="00E26AA7">
        <w:rPr>
          <w:rFonts w:ascii="Tahoma" w:hAnsi="Tahoma" w:cs="Tahoma"/>
          <w:b/>
          <w:sz w:val="20"/>
          <w:szCs w:val="20"/>
        </w:rPr>
        <w:t>VISTO,</w:t>
      </w:r>
      <w:r w:rsidRPr="00E26AA7">
        <w:rPr>
          <w:rFonts w:ascii="Tahoma" w:hAnsi="Tahoma" w:cs="Tahoma"/>
          <w:sz w:val="20"/>
          <w:szCs w:val="20"/>
        </w:rPr>
        <w:t xml:space="preserve"> en sesión de fecha </w:t>
      </w:r>
      <w:r w:rsidR="00E26AA7">
        <w:rPr>
          <w:rFonts w:ascii="Tahoma" w:hAnsi="Tahoma" w:cs="Tahoma"/>
          <w:sz w:val="20"/>
          <w:szCs w:val="20"/>
        </w:rPr>
        <w:t>07 de junio</w:t>
      </w:r>
      <w:r w:rsidR="00D43251" w:rsidRPr="00E26AA7">
        <w:rPr>
          <w:rFonts w:ascii="Tahoma" w:hAnsi="Tahoma" w:cs="Tahoma"/>
          <w:sz w:val="20"/>
          <w:szCs w:val="20"/>
        </w:rPr>
        <w:t xml:space="preserve"> </w:t>
      </w:r>
      <w:r w:rsidR="00531D1E" w:rsidRPr="00E26AA7">
        <w:rPr>
          <w:rFonts w:ascii="Tahoma" w:hAnsi="Tahoma" w:cs="Tahoma"/>
          <w:sz w:val="20"/>
          <w:szCs w:val="20"/>
        </w:rPr>
        <w:t>de 2011</w:t>
      </w:r>
      <w:r w:rsidRPr="00E26AA7">
        <w:rPr>
          <w:rFonts w:ascii="Tahoma" w:hAnsi="Tahoma" w:cs="Tahoma"/>
          <w:sz w:val="20"/>
          <w:szCs w:val="20"/>
        </w:rPr>
        <w:t xml:space="preserve"> de la </w:t>
      </w:r>
      <w:r w:rsidR="001776B6" w:rsidRPr="00E26AA7">
        <w:rPr>
          <w:rFonts w:ascii="Tahoma" w:hAnsi="Tahoma" w:cs="Tahoma"/>
          <w:sz w:val="20"/>
          <w:szCs w:val="20"/>
        </w:rPr>
        <w:t>Primera</w:t>
      </w:r>
      <w:r w:rsidRPr="00E26AA7">
        <w:rPr>
          <w:rFonts w:ascii="Tahoma" w:hAnsi="Tahoma" w:cs="Tahoma"/>
          <w:sz w:val="20"/>
          <w:szCs w:val="20"/>
        </w:rPr>
        <w:t xml:space="preserve"> Sala del Tribunal de Contrataciones del Estado el Expediente № </w:t>
      </w:r>
      <w:r w:rsidR="00E26AA7">
        <w:rPr>
          <w:rFonts w:ascii="Tahoma" w:hAnsi="Tahoma" w:cs="Tahoma"/>
          <w:sz w:val="20"/>
          <w:szCs w:val="20"/>
        </w:rPr>
        <w:t>1081</w:t>
      </w:r>
      <w:r w:rsidR="00531D1E" w:rsidRPr="00E26AA7">
        <w:rPr>
          <w:rFonts w:ascii="Tahoma" w:hAnsi="Tahoma" w:cs="Tahoma"/>
          <w:sz w:val="20"/>
          <w:szCs w:val="20"/>
        </w:rPr>
        <w:t>/20</w:t>
      </w:r>
      <w:r w:rsidR="00222218" w:rsidRPr="00E26AA7">
        <w:rPr>
          <w:rFonts w:ascii="Tahoma" w:hAnsi="Tahoma" w:cs="Tahoma"/>
          <w:sz w:val="20"/>
          <w:szCs w:val="20"/>
        </w:rPr>
        <w:t>1</w:t>
      </w:r>
      <w:r w:rsidR="00E26AA7">
        <w:rPr>
          <w:rFonts w:ascii="Tahoma" w:hAnsi="Tahoma" w:cs="Tahoma"/>
          <w:sz w:val="20"/>
          <w:szCs w:val="20"/>
        </w:rPr>
        <w:t>0</w:t>
      </w:r>
      <w:r w:rsidRPr="00E26AA7">
        <w:rPr>
          <w:rFonts w:ascii="Tahoma" w:hAnsi="Tahoma" w:cs="Tahoma"/>
          <w:sz w:val="20"/>
          <w:szCs w:val="20"/>
        </w:rPr>
        <w:t>.TC, sobre procedimiento administrativo sancionador contra</w:t>
      </w:r>
      <w:r w:rsidR="00140241" w:rsidRPr="00E26AA7">
        <w:rPr>
          <w:rFonts w:ascii="Tahoma" w:hAnsi="Tahoma" w:cs="Tahoma"/>
          <w:sz w:val="20"/>
          <w:szCs w:val="20"/>
        </w:rPr>
        <w:t xml:space="preserve"> </w:t>
      </w:r>
      <w:r w:rsidR="00E26AA7">
        <w:rPr>
          <w:rFonts w:ascii="Tahoma" w:hAnsi="Tahoma" w:cs="Tahoma"/>
          <w:sz w:val="20"/>
          <w:szCs w:val="20"/>
        </w:rPr>
        <w:t xml:space="preserve">la </w:t>
      </w:r>
      <w:r w:rsidR="00E26AA7" w:rsidRPr="00E26AA7">
        <w:rPr>
          <w:rFonts w:ascii="Tahoma" w:hAnsi="Tahoma" w:cs="Tahoma"/>
          <w:sz w:val="20"/>
          <w:szCs w:val="20"/>
        </w:rPr>
        <w:t>empresa JUMDI S.A.C.</w:t>
      </w:r>
      <w:r w:rsidR="00E26AA7">
        <w:rPr>
          <w:rFonts w:ascii="Tahoma" w:hAnsi="Tahoma" w:cs="Tahoma"/>
          <w:sz w:val="20"/>
          <w:szCs w:val="20"/>
        </w:rPr>
        <w:t xml:space="preserve"> </w:t>
      </w:r>
      <w:r w:rsidRPr="00E26AA7">
        <w:rPr>
          <w:rFonts w:ascii="Tahoma" w:hAnsi="Tahoma" w:cs="Tahoma"/>
          <w:sz w:val="20"/>
          <w:szCs w:val="20"/>
        </w:rPr>
        <w:t xml:space="preserve">por supuesta responsabilidad en la resolución </w:t>
      </w:r>
      <w:r w:rsidR="008422E3" w:rsidRPr="00E26AA7">
        <w:rPr>
          <w:rFonts w:ascii="Tahoma" w:hAnsi="Tahoma" w:cs="Tahoma"/>
          <w:sz w:val="20"/>
          <w:szCs w:val="20"/>
        </w:rPr>
        <w:t xml:space="preserve">de </w:t>
      </w:r>
      <w:r w:rsidR="00E26AA7">
        <w:rPr>
          <w:rFonts w:ascii="Tahoma" w:hAnsi="Tahoma" w:cs="Tahoma"/>
          <w:sz w:val="20"/>
          <w:szCs w:val="20"/>
        </w:rPr>
        <w:t xml:space="preserve">la </w:t>
      </w:r>
      <w:r w:rsidR="00E26AA7" w:rsidRPr="00E26AA7">
        <w:rPr>
          <w:rFonts w:ascii="Tahoma" w:hAnsi="Tahoma" w:cs="Tahoma"/>
          <w:sz w:val="20"/>
          <w:szCs w:val="20"/>
        </w:rPr>
        <w:t>Orden de Compra № 4501225578</w:t>
      </w:r>
      <w:r w:rsidR="00214D5E" w:rsidRPr="00E26AA7">
        <w:rPr>
          <w:rFonts w:ascii="Tahoma" w:hAnsi="Tahoma" w:cs="Tahoma"/>
          <w:sz w:val="20"/>
          <w:szCs w:val="20"/>
        </w:rPr>
        <w:t xml:space="preserve"> </w:t>
      </w:r>
      <w:r w:rsidR="00822C2F" w:rsidRPr="00E26AA7">
        <w:rPr>
          <w:rFonts w:ascii="Tahoma" w:hAnsi="Tahoma" w:cs="Tahoma"/>
          <w:sz w:val="20"/>
          <w:szCs w:val="20"/>
        </w:rPr>
        <w:t xml:space="preserve">por causa atribuible a </w:t>
      </w:r>
      <w:r w:rsidR="00E26AA7">
        <w:rPr>
          <w:rFonts w:ascii="Tahoma" w:hAnsi="Tahoma" w:cs="Tahoma"/>
          <w:sz w:val="20"/>
          <w:szCs w:val="20"/>
        </w:rPr>
        <w:t>ella</w:t>
      </w:r>
      <w:r w:rsidR="00466DC8" w:rsidRPr="00E26AA7">
        <w:rPr>
          <w:rFonts w:ascii="Tahoma" w:hAnsi="Tahoma" w:cs="Tahoma"/>
          <w:sz w:val="20"/>
          <w:szCs w:val="20"/>
        </w:rPr>
        <w:t>, derivada</w:t>
      </w:r>
      <w:r w:rsidR="000B0A8A" w:rsidRPr="00E26AA7">
        <w:rPr>
          <w:rFonts w:ascii="Tahoma" w:hAnsi="Tahoma" w:cs="Tahoma"/>
          <w:sz w:val="20"/>
          <w:szCs w:val="20"/>
        </w:rPr>
        <w:t xml:space="preserve"> de la</w:t>
      </w:r>
      <w:r w:rsidRPr="00E26AA7">
        <w:rPr>
          <w:rFonts w:ascii="Tahoma" w:hAnsi="Tahoma" w:cs="Tahoma"/>
          <w:sz w:val="20"/>
          <w:szCs w:val="20"/>
        </w:rPr>
        <w:t xml:space="preserve"> </w:t>
      </w:r>
      <w:r w:rsidR="00E26AA7" w:rsidRPr="00E26AA7">
        <w:rPr>
          <w:rFonts w:ascii="Tahoma" w:hAnsi="Tahoma" w:cs="Tahoma"/>
          <w:sz w:val="20"/>
          <w:szCs w:val="20"/>
        </w:rPr>
        <w:t>Adjudicación de Menor Cuantía № 1363-2009-EsSalud/RAA</w:t>
      </w:r>
      <w:r w:rsidR="00D43251" w:rsidRPr="00E26AA7">
        <w:rPr>
          <w:rFonts w:ascii="Tahoma" w:hAnsi="Tahoma" w:cs="Tahoma"/>
          <w:sz w:val="20"/>
          <w:szCs w:val="20"/>
        </w:rPr>
        <w:t xml:space="preserve">, </w:t>
      </w:r>
      <w:r w:rsidR="008422E3" w:rsidRPr="00E26AA7">
        <w:rPr>
          <w:rFonts w:ascii="Tahoma" w:hAnsi="Tahoma" w:cs="Tahoma"/>
          <w:sz w:val="20"/>
          <w:szCs w:val="20"/>
        </w:rPr>
        <w:t>primera</w:t>
      </w:r>
      <w:r w:rsidR="00D43251" w:rsidRPr="00E26AA7">
        <w:rPr>
          <w:rFonts w:ascii="Tahoma" w:hAnsi="Tahoma" w:cs="Tahoma"/>
          <w:sz w:val="20"/>
          <w:szCs w:val="20"/>
        </w:rPr>
        <w:t xml:space="preserve"> convocatoria</w:t>
      </w:r>
      <w:r w:rsidRPr="00E26AA7">
        <w:rPr>
          <w:rFonts w:ascii="Tahoma" w:hAnsi="Tahoma" w:cs="Tahoma"/>
          <w:sz w:val="20"/>
          <w:szCs w:val="20"/>
        </w:rPr>
        <w:t xml:space="preserve">, </w:t>
      </w:r>
      <w:r w:rsidR="00D43251" w:rsidRPr="00E26AA7">
        <w:rPr>
          <w:rFonts w:ascii="Tahoma" w:hAnsi="Tahoma" w:cs="Tahoma"/>
          <w:sz w:val="20"/>
          <w:szCs w:val="20"/>
        </w:rPr>
        <w:t xml:space="preserve">realizada por </w:t>
      </w:r>
      <w:r w:rsidR="00E26AA7" w:rsidRPr="00E26AA7">
        <w:rPr>
          <w:rFonts w:ascii="Tahoma" w:hAnsi="Tahoma" w:cs="Tahoma"/>
          <w:sz w:val="20"/>
          <w:szCs w:val="20"/>
        </w:rPr>
        <w:t>la Red Asistencial Almenara de ESSALUD</w:t>
      </w:r>
      <w:r w:rsidRPr="00E26AA7">
        <w:rPr>
          <w:rFonts w:ascii="Tahoma" w:hAnsi="Tahoma" w:cs="Tahoma"/>
          <w:sz w:val="20"/>
          <w:szCs w:val="20"/>
        </w:rPr>
        <w:t>, para</w:t>
      </w:r>
      <w:r w:rsidR="00903A92" w:rsidRPr="00E26AA7">
        <w:rPr>
          <w:rFonts w:ascii="Tahoma" w:hAnsi="Tahoma" w:cs="Tahoma"/>
          <w:sz w:val="20"/>
          <w:szCs w:val="20"/>
        </w:rPr>
        <w:t xml:space="preserve"> </w:t>
      </w:r>
      <w:r w:rsidR="00E26AA7" w:rsidRPr="00E26AA7">
        <w:rPr>
          <w:rFonts w:ascii="Tahoma" w:hAnsi="Tahoma" w:cs="Tahoma"/>
          <w:sz w:val="20"/>
          <w:szCs w:val="20"/>
        </w:rPr>
        <w:t>la “Contratación del Servicio de Mantenimiento de la Sala de Procedimientos de Hematología del Hospital III Grau de la Red Asistencial Almenara”</w:t>
      </w:r>
      <w:r w:rsidRPr="00E26AA7">
        <w:rPr>
          <w:rFonts w:ascii="Tahoma" w:hAnsi="Tahoma" w:cs="Tahoma"/>
          <w:sz w:val="20"/>
          <w:szCs w:val="20"/>
        </w:rPr>
        <w:t xml:space="preserve">, y; atendiendo a los siguientes:  </w:t>
      </w:r>
    </w:p>
    <w:p w:rsidR="00E13E6B" w:rsidRPr="00E26AA7" w:rsidRDefault="00E13E6B" w:rsidP="00E26AA7">
      <w:pPr>
        <w:ind w:right="45"/>
        <w:jc w:val="both"/>
        <w:rPr>
          <w:rFonts w:ascii="Tahoma" w:hAnsi="Tahoma" w:cs="Tahoma"/>
          <w:b/>
          <w:sz w:val="20"/>
          <w:szCs w:val="20"/>
        </w:rPr>
      </w:pPr>
    </w:p>
    <w:p w:rsidR="00E13E6B" w:rsidRPr="00E26AA7" w:rsidRDefault="00E13E6B" w:rsidP="00E26AA7">
      <w:pPr>
        <w:ind w:firstLine="567"/>
        <w:jc w:val="both"/>
        <w:rPr>
          <w:rFonts w:ascii="Tahoma" w:hAnsi="Tahoma" w:cs="Tahoma"/>
          <w:b/>
          <w:sz w:val="20"/>
          <w:szCs w:val="20"/>
        </w:rPr>
      </w:pPr>
      <w:r w:rsidRPr="00E26AA7">
        <w:rPr>
          <w:rFonts w:ascii="Tahoma" w:hAnsi="Tahoma" w:cs="Tahoma"/>
          <w:b/>
          <w:sz w:val="20"/>
          <w:szCs w:val="20"/>
        </w:rPr>
        <w:t>ANTECEDENTES:</w:t>
      </w:r>
    </w:p>
    <w:p w:rsidR="00E13E6B" w:rsidRPr="00E26AA7" w:rsidRDefault="00E13E6B" w:rsidP="00E26AA7">
      <w:pPr>
        <w:ind w:left="426"/>
        <w:jc w:val="both"/>
        <w:rPr>
          <w:rFonts w:ascii="Tahoma" w:hAnsi="Tahoma" w:cs="Tahoma"/>
          <w:b/>
          <w:bCs/>
          <w:shadow/>
          <w:sz w:val="20"/>
          <w:szCs w:val="20"/>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El 26 de noviembre de 2009, la Red Asistencial Almenara de ESSALUD, en adelante la Entidad, convocó la Adjudicación de Menor Cuantía № 1363-2009-EsSalud/RAA, primera convocatoria, para la “Contratación del Servicio de Mantenimiento de la Sala de Procedimientos de Hematología del Hospital III Grau de la Red Asistencial Almenara”, por un valor referencial de S/. 36 749.38 (Treinta y seis mil setecientos cuarenta y nueve y 38/100 nuevos soles), incluido los impuesto de ley.</w:t>
      </w:r>
    </w:p>
    <w:p w:rsidR="00E26AA7" w:rsidRPr="00E26AA7" w:rsidRDefault="00E26AA7" w:rsidP="00E26AA7">
      <w:pPr>
        <w:ind w:left="567"/>
        <w:jc w:val="both"/>
        <w:rPr>
          <w:rFonts w:ascii="Tahoma" w:hAnsi="Tahoma" w:cs="Tahoma"/>
          <w:sz w:val="20"/>
          <w:szCs w:val="20"/>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Como resultado del proceso de selección, el 09 de diciembre de 2009, se otorgó la Buena Pro a la empresa JUMDI S.A.C., por su oferta económica ascendente a S/. 33 074.44 nuevos soles.</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 xml:space="preserve">El 17 de diciembre de 2009, la Entidad remitió la Orden de Compra № 4501225578 favor de empresa JUMDI S.A.C., en lo sucesivo la Contratista, para el servicio de mantenimiento de la sala de procedimientos de hematología de la Entidad, por el monto de S/. 33 074.44, y cuyo plazo de ejecución contractual sería de treinta y cinco (35) días calendario. </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Mediante Carta Notarial № 59-OA-OADM-RAA-ESSALUD-2010 de fecha 19 de enero de 2010, notificada el 20 del mismo mes y año, la Entidad requirió a la Contratista el cumplimiento de sus obligaciones contractuales según los plazos establecidos en la orden de compra de la referencia.</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 xml:space="preserve">Con Carta s/n presentado el 26 de enero de 2010, la Contratista comunicó a la Entidad que había realizado una reunión con el Jefe de la Unidad de Ingeniería Hospitalaria y Servicios, el mismo que le informó que no podían dar inicio a la ejecución contractual, toda vez que no había espacio para trasladar los equipos y materiales a los consultorios </w:t>
      </w:r>
      <w:r w:rsidRPr="00E26AA7">
        <w:rPr>
          <w:rFonts w:ascii="Tahoma" w:hAnsi="Tahoma" w:cs="Tahoma"/>
          <w:sz w:val="20"/>
          <w:szCs w:val="20"/>
        </w:rPr>
        <w:lastRenderedPageBreak/>
        <w:t>correspondientes; por lo que la Contratista –según afirmó– estaba a la espera de la comunicación de citado jefe de unidad de la Entidad.</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Mediante Carta № 118-UMI-OIHYS-O.ADM-RAA-ESSALUD-10 de fecha 16 de marzo de 2010, notificada el 24 del mismo mes y año, la Entidad comunicó a la Contratista, entre otros, que no estaba cumpliendo con sus obligaciones contractuales.</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A través de la Carta № 011-OA-OADM-RAA-EsSALUD-2010 de fecha 19 de abril de 2010, notificada notarialmente el 22 del mismo mes y año, la Entidad otorgó a la Contratista un plazo de cinco (05) días a fin de que cumpla con sus obligaciones contractuales, bajo apercibimiento de resolver la Orden de Compra № 4501225578; precisando que de continuar con el incumplimiento se procedería a la resolución contractual.</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Mediante Carta № 639-OADM-G-RAA-ESSALUD-2010 de fecha 01 de junio de 2010, diligenciada notarialmente el 03 del mismo mes y año, la Entidad comunicó a la Contratista la resolución del vínculo contractual, atendiendo a la Resolución de Oficina de Administración № 1122-OADM-RAA-ESSALUD-2010 de fecha 31 de mayo de 2010, la misma que dispuso resolver la Orden de Compra № 4501225578, por causal atribuible a su parte.</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 xml:space="preserve">Con escrito presentado el 16 de agosto de 2010, la Entidad puso en conocimiento del Tribunal de Contrataciones del Estado, en adelante el Tribunal, la supuesta responsabilidad de la Contratista en la resolución de la Orden de Compra № 4501225578, por causal atribuible a su parte, derivado del acotado proceso de selección, pese a haber sido requerida de acuerdo con la legislación vigente. </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bCs/>
          <w:sz w:val="20"/>
          <w:szCs w:val="20"/>
        </w:rPr>
        <w:t>Mediante decreto de fecha 19 de agosto de 2010, notificado el 19 de octubre del mismo año, previamente al inicio del procedimiento administrativo sancionador, el Tribunal requirió a la Entidad que señale si la controversia fue sometida a un mecanismo de solución de conflictos.</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A través del escrito presentado el 25 de octubre de 2010, la Entidad señaló  la resolución de la citada orden de compra fue discutida por la Contratista en vía de conciliación, atendiendo al artículo 170 del Reglamento; sin embargo, la misma que no arribó a ningún acuerdo, por inasistencia de las partes según consta en el Acta de Conciliación № 780-2010 de fecha 16 de julio de 2010.</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Con decreto de fecha 28 de octubre de 2010, el Tribunal inició el procedimiento administrativo sancionador contra la Contratista por su supuesta responsabilidad en la resolución del Orden de Compra № 4501225578 de fecha 17 de diciembre de 2009, derivado de la Adjudicación de Menor Cuantía № 1363-2009-EsSalud/RAA, primera convocatoria, por causal atribuible a su parte, infracción tipificada en el literal b) del numeral 1) del artículo 237 del Reglamento. Asimismo, se le requirió para que en el plazo de diez (10) días hábiles cumpliera con presentar su escrito de descargos.</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 xml:space="preserve">Mediante decreto de fecha 21 de enero de 2011, previa razón de Secretaría, se sobrecartó la Cedula de Notificación № 29006/2009.TC al domicilio sitio en: Mz. S, Lt. 21 AA.HH. Los </w:t>
      </w:r>
      <w:r w:rsidRPr="00E26AA7">
        <w:rPr>
          <w:rFonts w:ascii="Tahoma" w:hAnsi="Tahoma" w:cs="Tahoma"/>
          <w:sz w:val="20"/>
          <w:szCs w:val="20"/>
        </w:rPr>
        <w:lastRenderedPageBreak/>
        <w:t>Rosales de Pro, Distrito de los Olivos, a fin que la Contratista cumpla con efectuar la presentación de sus descargos.</w:t>
      </w:r>
    </w:p>
    <w:p w:rsidR="00E26AA7" w:rsidRPr="00E26AA7" w:rsidRDefault="00E26AA7" w:rsidP="00E26AA7">
      <w:pPr>
        <w:ind w:left="567"/>
        <w:jc w:val="both"/>
        <w:rPr>
          <w:rFonts w:ascii="Tahoma" w:hAnsi="Tahoma" w:cs="Tahoma"/>
          <w:sz w:val="20"/>
          <w:szCs w:val="20"/>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Con escrito presentado el 25 de febrero de 2011, el representante legal de la Contratista presentó su escrito de descargos bajo los siguientes términos:</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22"/>
        </w:numPr>
        <w:ind w:left="1134" w:hanging="283"/>
        <w:jc w:val="both"/>
        <w:rPr>
          <w:rFonts w:ascii="Tahoma" w:hAnsi="Tahoma" w:cs="Tahoma"/>
          <w:sz w:val="20"/>
          <w:szCs w:val="20"/>
        </w:rPr>
      </w:pPr>
      <w:r w:rsidRPr="00E26AA7">
        <w:rPr>
          <w:rFonts w:ascii="Tahoma" w:hAnsi="Tahoma" w:cs="Tahoma"/>
          <w:sz w:val="20"/>
          <w:szCs w:val="20"/>
        </w:rPr>
        <w:t>El Ingeniero Fredy Colca (supervisor del servicio), nos comunicó que el servicio no podía ejecutarse, en tanto faltaba las coordinaciones con el área usuaria, luego del cual, una vez iniciado el trabajo, se realizaron constantes paralizaciones de los doctores y pacientes del hospital, hecho que se comunicó al mencionado ingeniero; sin embargo, éste paralizó los trabajos iniciados, situación que evidencia que los encargados de la Entidad paralizaron el trabajo por diversas razones no atribuibles a mi representada. (sic)</w:t>
      </w:r>
    </w:p>
    <w:p w:rsidR="00E26AA7" w:rsidRPr="00E26AA7" w:rsidRDefault="00E26AA7" w:rsidP="00E26AA7">
      <w:pPr>
        <w:ind w:left="1134" w:hanging="283"/>
        <w:jc w:val="both"/>
        <w:rPr>
          <w:rFonts w:ascii="Tahoma" w:hAnsi="Tahoma" w:cs="Tahoma"/>
          <w:sz w:val="20"/>
          <w:szCs w:val="20"/>
        </w:rPr>
      </w:pPr>
    </w:p>
    <w:p w:rsidR="00E26AA7" w:rsidRPr="00E26AA7" w:rsidRDefault="00E26AA7" w:rsidP="00E26AA7">
      <w:pPr>
        <w:numPr>
          <w:ilvl w:val="0"/>
          <w:numId w:val="22"/>
        </w:numPr>
        <w:ind w:left="1134" w:hanging="283"/>
        <w:jc w:val="both"/>
        <w:rPr>
          <w:rFonts w:ascii="Tahoma" w:hAnsi="Tahoma" w:cs="Tahoma"/>
          <w:sz w:val="20"/>
          <w:szCs w:val="20"/>
        </w:rPr>
      </w:pPr>
      <w:r w:rsidRPr="00E26AA7">
        <w:rPr>
          <w:rFonts w:ascii="Tahoma" w:hAnsi="Tahoma" w:cs="Tahoma"/>
          <w:sz w:val="20"/>
          <w:szCs w:val="20"/>
        </w:rPr>
        <w:t>De otro lado, cabe mencionar que durante la ejecución contractual, se realizaron diversas modificaciones y cambios a los planos que ya estaba definidos en el expediente técnico del servicio ofertado. (sic)</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22"/>
        </w:numPr>
        <w:ind w:left="1134" w:hanging="283"/>
        <w:jc w:val="both"/>
        <w:rPr>
          <w:rFonts w:ascii="Tahoma" w:hAnsi="Tahoma" w:cs="Tahoma"/>
          <w:sz w:val="20"/>
          <w:szCs w:val="20"/>
        </w:rPr>
      </w:pPr>
      <w:r w:rsidRPr="00E26AA7">
        <w:rPr>
          <w:rFonts w:ascii="Tahoma" w:hAnsi="Tahoma" w:cs="Tahoma"/>
          <w:sz w:val="20"/>
          <w:szCs w:val="20"/>
        </w:rPr>
        <w:t>Tales afirmaciones, se corroboran con las cartas, emails y demás documentos mediante los cuales se comunicó a la Entidad los hechos que impidieron que mi representada cumpla sus obligaciones contractuales dentro del plazo estipulado en la orden de compra de fecha 17 de diciembre de 2009; no obstante ello, cabe precisar, que el servicio fue culminado.  (sic)</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22"/>
        </w:numPr>
        <w:ind w:left="1134" w:hanging="283"/>
        <w:jc w:val="both"/>
        <w:rPr>
          <w:rFonts w:ascii="Tahoma" w:hAnsi="Tahoma" w:cs="Tahoma"/>
          <w:sz w:val="20"/>
          <w:szCs w:val="20"/>
        </w:rPr>
      </w:pPr>
      <w:r w:rsidRPr="00E26AA7">
        <w:rPr>
          <w:rFonts w:ascii="Tahoma" w:hAnsi="Tahoma" w:cs="Tahoma"/>
          <w:sz w:val="20"/>
          <w:szCs w:val="20"/>
        </w:rPr>
        <w:t>Por lo tanto, mi representada cumplió con sus obligaciones, no obstante ello, la Entidad resolvió la orden de compra de manera arbitraria. En ese sentido, el literal c) del artículo 40 de la Ley de Contrataciones del Estado, ha prescrito que la resolución del contrato se efectúa cuando se incumple injustificadamente las obligaciones contractuales, situación que no se ha acreditado en el presente caso, ya que el incumplimiento es por causas no atribuibles a mi representada. (sic)</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22"/>
        </w:numPr>
        <w:ind w:left="1134" w:hanging="283"/>
        <w:jc w:val="both"/>
        <w:rPr>
          <w:rFonts w:ascii="Tahoma" w:hAnsi="Tahoma" w:cs="Tahoma"/>
          <w:sz w:val="20"/>
          <w:szCs w:val="20"/>
        </w:rPr>
      </w:pPr>
      <w:r w:rsidRPr="00E26AA7">
        <w:rPr>
          <w:rFonts w:ascii="Tahoma" w:hAnsi="Tahoma" w:cs="Tahoma"/>
          <w:sz w:val="20"/>
          <w:szCs w:val="20"/>
        </w:rPr>
        <w:t>Finalmente, solicitó que se declare no ha lugar a la imposición de sanción administrativa en su contra.</w:t>
      </w:r>
    </w:p>
    <w:p w:rsidR="00E26AA7" w:rsidRPr="00E26AA7" w:rsidRDefault="00E26AA7" w:rsidP="00E26AA7">
      <w:pPr>
        <w:pStyle w:val="Prrafodelista"/>
        <w:jc w:val="both"/>
        <w:rPr>
          <w:rFonts w:ascii="Tahoma" w:hAnsi="Tahoma" w:cs="Tahoma"/>
        </w:rPr>
      </w:pPr>
    </w:p>
    <w:p w:rsidR="00E26AA7" w:rsidRPr="00E26AA7" w:rsidRDefault="00E26AA7" w:rsidP="00E26AA7">
      <w:pPr>
        <w:numPr>
          <w:ilvl w:val="0"/>
          <w:numId w:val="19"/>
        </w:numPr>
        <w:ind w:left="567" w:hanging="567"/>
        <w:jc w:val="both"/>
        <w:rPr>
          <w:rFonts w:ascii="Tahoma" w:hAnsi="Tahoma" w:cs="Tahoma"/>
          <w:sz w:val="20"/>
          <w:szCs w:val="20"/>
        </w:rPr>
      </w:pPr>
      <w:r w:rsidRPr="00E26AA7">
        <w:rPr>
          <w:rFonts w:ascii="Tahoma" w:hAnsi="Tahoma" w:cs="Tahoma"/>
          <w:sz w:val="20"/>
          <w:szCs w:val="20"/>
        </w:rPr>
        <w:t>Con decreto de fecha 02 de marzo de 2011, se tuvo por apersonado a la Contratista a la instancia administrativa, y se remitió el expediente a la Primera Sala del Tribunal para que resolviera.</w:t>
      </w:r>
    </w:p>
    <w:p w:rsidR="006E5571" w:rsidRPr="00E26AA7" w:rsidRDefault="006E5571" w:rsidP="00E26AA7">
      <w:pPr>
        <w:pStyle w:val="Textoindependiente"/>
        <w:tabs>
          <w:tab w:val="left" w:pos="-2340"/>
          <w:tab w:val="left" w:pos="540"/>
        </w:tabs>
        <w:spacing w:after="0"/>
        <w:ind w:left="180" w:hanging="180"/>
        <w:jc w:val="both"/>
        <w:rPr>
          <w:rFonts w:ascii="Tahoma" w:hAnsi="Tahoma" w:cs="Tahoma"/>
          <w:b/>
          <w:sz w:val="20"/>
          <w:szCs w:val="20"/>
        </w:rPr>
      </w:pPr>
    </w:p>
    <w:p w:rsidR="00E13E6B" w:rsidRPr="00E26AA7" w:rsidRDefault="00E13E6B" w:rsidP="00E26AA7">
      <w:pPr>
        <w:pStyle w:val="Textoindependiente"/>
        <w:tabs>
          <w:tab w:val="left" w:pos="-2340"/>
          <w:tab w:val="left" w:pos="540"/>
        </w:tabs>
        <w:spacing w:after="0"/>
        <w:ind w:left="180" w:hanging="180"/>
        <w:jc w:val="both"/>
        <w:rPr>
          <w:rFonts w:ascii="Tahoma" w:hAnsi="Tahoma" w:cs="Tahoma"/>
          <w:b/>
          <w:sz w:val="20"/>
          <w:szCs w:val="20"/>
        </w:rPr>
      </w:pPr>
      <w:r w:rsidRPr="00E26AA7">
        <w:rPr>
          <w:rFonts w:ascii="Tahoma" w:hAnsi="Tahoma" w:cs="Tahoma"/>
          <w:b/>
          <w:sz w:val="20"/>
          <w:szCs w:val="20"/>
        </w:rPr>
        <w:tab/>
      </w:r>
      <w:r w:rsidRPr="00E26AA7">
        <w:rPr>
          <w:rFonts w:ascii="Tahoma" w:hAnsi="Tahoma" w:cs="Tahoma"/>
          <w:b/>
          <w:sz w:val="20"/>
          <w:szCs w:val="20"/>
        </w:rPr>
        <w:tab/>
        <w:t>FUNDAMENTACIÓN:</w:t>
      </w:r>
    </w:p>
    <w:p w:rsidR="00E13E6B" w:rsidRPr="00E26AA7" w:rsidRDefault="00E13E6B" w:rsidP="00E26AA7">
      <w:pPr>
        <w:pStyle w:val="Sangradetextonormal"/>
        <w:spacing w:after="0"/>
        <w:ind w:left="0"/>
        <w:jc w:val="both"/>
        <w:rPr>
          <w:rFonts w:ascii="Tahoma" w:hAnsi="Tahoma" w:cs="Tahoma"/>
          <w:sz w:val="20"/>
          <w:szCs w:val="20"/>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E26AA7" w:rsidRPr="00E26AA7" w:rsidRDefault="00E26AA7" w:rsidP="00E26AA7">
      <w:pPr>
        <w:pStyle w:val="Prrafodelista"/>
        <w:ind w:left="567"/>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 xml:space="preserve">En ese sentido, el Tribunal es el órgano que tiene a su cargo el conocimiento y resolución de los procedimientos de imposición de sanción de inhabilitación temporal o definitiva para </w:t>
      </w:r>
      <w:r w:rsidRPr="00E26AA7">
        <w:rPr>
          <w:rFonts w:ascii="Tahoma" w:hAnsi="Tahoma" w:cs="Tahoma"/>
        </w:rPr>
        <w:lastRenderedPageBreak/>
        <w:t xml:space="preserve">contratar con el Estado, en los casos expresamente tipificados en el artículo </w:t>
      </w:r>
      <w:r w:rsidRPr="00E26AA7">
        <w:rPr>
          <w:rFonts w:ascii="Tahoma" w:hAnsi="Tahoma" w:cs="Tahoma"/>
          <w:lang w:val="es-MX"/>
        </w:rPr>
        <w:t>51 y 52 de la Ley de Contrataciones del Estado,</w:t>
      </w:r>
      <w:r w:rsidRPr="00E26AA7">
        <w:rPr>
          <w:rFonts w:ascii="Tahoma" w:hAnsi="Tahoma" w:cs="Tahoma"/>
        </w:rPr>
        <w:t xml:space="preserve"> aprobada mediante Decreto Legislativo № 1017,</w:t>
      </w:r>
      <w:r w:rsidRPr="00E26AA7">
        <w:rPr>
          <w:rFonts w:ascii="Tahoma" w:hAnsi="Tahoma" w:cs="Tahoma"/>
          <w:lang w:val="es-MX"/>
        </w:rPr>
        <w:t xml:space="preserve"> </w:t>
      </w:r>
      <w:r w:rsidRPr="00E26AA7">
        <w:rPr>
          <w:rFonts w:ascii="Tahoma" w:hAnsi="Tahoma" w:cs="Tahoma"/>
        </w:rPr>
        <w:t>norma aplicable al momento de la presunta comisión de la infracción</w:t>
      </w:r>
      <w:r w:rsidRPr="00E26AA7">
        <w:rPr>
          <w:rFonts w:ascii="Tahoma" w:hAnsi="Tahoma" w:cs="Tahoma"/>
          <w:lang w:val="es-MX"/>
        </w:rPr>
        <w:t xml:space="preserve">, y en los casos expresamente previstos en el artículo 237 de su Reglamento, aprobado mediante Decreto Supremo </w:t>
      </w:r>
      <w:r w:rsidRPr="00E26AA7">
        <w:rPr>
          <w:rFonts w:ascii="Tahoma" w:hAnsi="Tahoma" w:cs="Tahoma"/>
        </w:rPr>
        <w:t xml:space="preserve">№ 184-2008-EF, </w:t>
      </w:r>
      <w:r w:rsidRPr="00E26AA7">
        <w:rPr>
          <w:rFonts w:ascii="Tahoma" w:hAnsi="Tahoma" w:cs="Tahoma"/>
          <w:lang w:val="es-MX"/>
        </w:rPr>
        <w:t>sin perjuicio de las acciones legales que correspondan adoptar a la Entidades, dentro de sus respectivas atribuciones, en salvaguarda de sus intereses</w:t>
      </w:r>
      <w:r w:rsidRPr="00E26AA7">
        <w:rPr>
          <w:rFonts w:ascii="Tahoma" w:hAnsi="Tahoma" w:cs="Tahoma"/>
        </w:rPr>
        <w:t>.</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El presente caso está referido a la supuesta responsabilidad de la Contratista por el incumplimiento injustificado de las obligaciones de la Orden de Compra № 4501225578, derivado de la Adjudicación de Menor Cuantía № 1363-2009-EsSalud/RAA, primera convocatoria, supuesto de hecho del tipo legal previsto en el literal b) del numeral 51.1 del artículo 51 de la Ley</w:t>
      </w:r>
      <w:r w:rsidRPr="00E26AA7">
        <w:rPr>
          <w:rStyle w:val="Refdenotaalpie"/>
          <w:rFonts w:ascii="Tahoma" w:hAnsi="Tahoma" w:cs="Tahoma"/>
        </w:rPr>
        <w:footnoteReference w:id="2"/>
      </w:r>
      <w:r w:rsidRPr="00E26AA7">
        <w:rPr>
          <w:rFonts w:ascii="Tahoma" w:hAnsi="Tahoma" w:cs="Tahoma"/>
        </w:rPr>
        <w:t xml:space="preserve"> en concordancia con el literal b) del numeral 1) del artículo 237 del Reglamento</w:t>
      </w:r>
      <w:r w:rsidRPr="00E26AA7">
        <w:rPr>
          <w:rStyle w:val="Refdenotaalpie"/>
          <w:rFonts w:ascii="Tahoma" w:hAnsi="Tahoma" w:cs="Tahoma"/>
        </w:rPr>
        <w:footnoteReference w:id="3"/>
      </w:r>
      <w:r w:rsidRPr="00E26AA7">
        <w:rPr>
          <w:rFonts w:ascii="Tahoma" w:hAnsi="Tahoma" w:cs="Tahoma"/>
        </w:rPr>
        <w:t>, norma vigente al momento de suscitado el hecho imputado.</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lastRenderedPageBreak/>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Este criterio, además, ha sido recogido en el Acuerdo de Sala Plena № 018/010 del 4 de setiembre de 2002</w:t>
      </w:r>
      <w:r w:rsidRPr="00E26AA7">
        <w:rPr>
          <w:rStyle w:val="Refdenotaalpie"/>
          <w:rFonts w:ascii="Tahoma" w:hAnsi="Tahoma" w:cs="Tahoma"/>
        </w:rPr>
        <w:footnoteReference w:id="4"/>
      </w:r>
      <w:r w:rsidRPr="00E26AA7">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al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 xml:space="preserve">En ese orden de ideas, corresponde determinar de manera previa si la Entidad ha seguido el debido procedimiento para la resolución de la citada orden de compra, conforme a lo previsto en los artículos 168 y 169 del Reglamento. </w:t>
      </w:r>
    </w:p>
    <w:p w:rsidR="00E26AA7" w:rsidRPr="00E26AA7" w:rsidRDefault="00E26AA7" w:rsidP="00E26AA7">
      <w:pPr>
        <w:pStyle w:val="Prrafodelista"/>
        <w:jc w:val="both"/>
        <w:rPr>
          <w:rFonts w:ascii="Tahoma" w:hAnsi="Tahoma" w:cs="Tahoma"/>
          <w:lang w:val="es-ES_tradnl"/>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lang w:val="es-ES_tradnl"/>
        </w:rPr>
        <w:t xml:space="preserve">No obstante ello, </w:t>
      </w:r>
      <w:r w:rsidRPr="00E26AA7">
        <w:rPr>
          <w:rFonts w:ascii="Tahoma" w:hAnsi="Tahoma" w:cs="Tahoma"/>
          <w:lang w:val="es-MX"/>
        </w:rPr>
        <w:t xml:space="preserve">es necesario advertir </w:t>
      </w:r>
      <w:r w:rsidRPr="00E26AA7">
        <w:rPr>
          <w:rFonts w:ascii="Tahoma" w:hAnsi="Tahoma" w:cs="Tahoma"/>
        </w:rPr>
        <w:t xml:space="preserve">que </w:t>
      </w:r>
      <w:r w:rsidRPr="00E26AA7">
        <w:rPr>
          <w:rFonts w:ascii="Tahoma" w:hAnsi="Tahoma" w:cs="Tahoma"/>
          <w:lang w:val="es-MX"/>
        </w:rPr>
        <w:t xml:space="preserve">mediante </w:t>
      </w:r>
      <w:r w:rsidRPr="00E26AA7">
        <w:rPr>
          <w:rFonts w:ascii="Tahoma" w:hAnsi="Tahoma" w:cs="Tahoma"/>
        </w:rPr>
        <w:t>Resolución № 782-2011-TC-S2 notificada el 26 de mayo de 2011</w:t>
      </w:r>
      <w:r w:rsidRPr="00E26AA7">
        <w:rPr>
          <w:rFonts w:ascii="Tahoma" w:hAnsi="Tahoma" w:cs="Tahoma"/>
          <w:lang w:val="es-MX"/>
        </w:rPr>
        <w:t>,</w:t>
      </w:r>
      <w:r w:rsidRPr="00E26AA7">
        <w:rPr>
          <w:rFonts w:ascii="Tahoma" w:hAnsi="Tahoma" w:cs="Tahoma"/>
        </w:rPr>
        <w:t xml:space="preserve"> la Segunda </w:t>
      </w:r>
      <w:r w:rsidRPr="00E26AA7">
        <w:rPr>
          <w:rFonts w:ascii="Tahoma" w:hAnsi="Tahoma" w:cs="Tahoma"/>
          <w:lang w:val="es-MX"/>
        </w:rPr>
        <w:t xml:space="preserve">Sala del Tribunal impuso a la Contratista </w:t>
      </w:r>
      <w:r w:rsidRPr="00E26AA7">
        <w:rPr>
          <w:rFonts w:ascii="Tahoma" w:hAnsi="Tahoma" w:cs="Tahoma"/>
          <w:u w:val="single"/>
          <w:lang w:val="es-MX"/>
        </w:rPr>
        <w:t xml:space="preserve">sanción administrativa de </w:t>
      </w:r>
      <w:r w:rsidRPr="00E26AA7">
        <w:rPr>
          <w:rFonts w:ascii="Tahoma" w:hAnsi="Tahoma" w:cs="Tahoma"/>
          <w:u w:val="single"/>
        </w:rPr>
        <w:t>inhabilitación definitiva en sus derechos para participar en procesos de selección y contratar con el Estado</w:t>
      </w:r>
      <w:r w:rsidRPr="00E26AA7">
        <w:rPr>
          <w:rFonts w:ascii="Tahoma" w:hAnsi="Tahoma" w:cs="Tahoma"/>
        </w:rPr>
        <w:t xml:space="preserve">, por cuanto había acumulado </w:t>
      </w:r>
      <w:r w:rsidRPr="00E26AA7">
        <w:rPr>
          <w:rFonts w:ascii="Tahoma" w:hAnsi="Tahoma" w:cs="Tahoma"/>
          <w:lang w:val="es-PE"/>
        </w:rPr>
        <w:t>en exceso el tiempo de inhabilitación temporal impuesto, ello de acuerdo a lo previsto en la normativa de la materia</w:t>
      </w:r>
      <w:r w:rsidRPr="00E26AA7">
        <w:rPr>
          <w:rFonts w:ascii="Tahoma" w:hAnsi="Tahoma" w:cs="Tahoma"/>
        </w:rPr>
        <w:t>.</w:t>
      </w:r>
    </w:p>
    <w:p w:rsidR="00E26AA7" w:rsidRPr="00E26AA7" w:rsidRDefault="00E26AA7" w:rsidP="00E26AA7">
      <w:pPr>
        <w:pStyle w:val="Prrafodelista"/>
        <w:jc w:val="both"/>
        <w:rPr>
          <w:rFonts w:ascii="Tahoma" w:hAnsi="Tahoma" w:cs="Tahoma"/>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rPr>
        <w:t>A</w:t>
      </w:r>
      <w:r w:rsidRPr="00E26AA7">
        <w:rPr>
          <w:rFonts w:ascii="Tahoma" w:hAnsi="Tahoma" w:cs="Tahoma"/>
          <w:lang w:val="es-MX"/>
        </w:rPr>
        <w:t xml:space="preserve">tendiendo a lo indicado, y considerando que la sanción administrativa de inhabilitación definitiva supone la </w:t>
      </w:r>
      <w:r w:rsidRPr="00E26AA7">
        <w:rPr>
          <w:rFonts w:ascii="Tahoma" w:hAnsi="Tahoma" w:cs="Tahoma"/>
          <w:u w:val="single"/>
          <w:lang w:val="es-MX"/>
        </w:rPr>
        <w:t>privación permanente</w:t>
      </w:r>
      <w:r w:rsidRPr="00E26AA7">
        <w:rPr>
          <w:rFonts w:ascii="Tahoma" w:hAnsi="Tahoma" w:cs="Tahoma"/>
          <w:lang w:val="es-MX"/>
        </w:rPr>
        <w:t xml:space="preserve"> en los derechos del infractor </w:t>
      </w:r>
      <w:r w:rsidRPr="00E26AA7">
        <w:rPr>
          <w:rFonts w:ascii="Tahoma" w:hAnsi="Tahoma" w:cs="Tahoma"/>
          <w:lang w:val="es-ES_tradnl"/>
        </w:rPr>
        <w:t>para participar en procesos de selección y contratar con el Estado,</w:t>
      </w:r>
      <w:r w:rsidRPr="00E26AA7">
        <w:rPr>
          <w:rFonts w:ascii="Tahoma" w:hAnsi="Tahoma" w:cs="Tahoma"/>
          <w:lang w:val="es-MX"/>
        </w:rPr>
        <w:t xml:space="preserve"> carece de sentido, en caso llegue a determinarse una nueva responsabilidad, imponer a </w:t>
      </w:r>
      <w:r w:rsidRPr="00E26AA7">
        <w:rPr>
          <w:rFonts w:ascii="Tahoma" w:hAnsi="Tahoma" w:cs="Tahoma"/>
        </w:rPr>
        <w:t>la empresa JUMDI S.A.C.</w:t>
      </w:r>
      <w:r w:rsidRPr="00E26AA7">
        <w:rPr>
          <w:rFonts w:ascii="Tahoma" w:hAnsi="Tahoma" w:cs="Tahoma"/>
          <w:lang w:val="es-MX"/>
        </w:rPr>
        <w:t xml:space="preserve"> una sanción adicional de la misma naturaleza. </w:t>
      </w:r>
    </w:p>
    <w:p w:rsidR="00E26AA7" w:rsidRPr="00E26AA7" w:rsidRDefault="00E26AA7" w:rsidP="00E26AA7">
      <w:pPr>
        <w:pStyle w:val="Prrafodelista"/>
        <w:jc w:val="both"/>
        <w:rPr>
          <w:rFonts w:ascii="Tahoma" w:hAnsi="Tahoma" w:cs="Tahoma"/>
          <w:lang w:val="es-MX"/>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lang w:val="es-MX"/>
        </w:rPr>
        <w:t xml:space="preserve">En consecuencia, carece de objeto que el Tribunal emita pronunciamiento sobre la configuración de la infracción denunciada en el presente caso respecto de la </w:t>
      </w:r>
      <w:r w:rsidRPr="00E26AA7">
        <w:rPr>
          <w:rFonts w:ascii="Tahoma" w:hAnsi="Tahoma" w:cs="Tahoma"/>
        </w:rPr>
        <w:t>empresa JUMDI S.A.C.</w:t>
      </w:r>
    </w:p>
    <w:p w:rsidR="00E26AA7" w:rsidRPr="00E26AA7" w:rsidRDefault="00E26AA7" w:rsidP="00E26AA7">
      <w:pPr>
        <w:pStyle w:val="Prrafodelista"/>
        <w:jc w:val="both"/>
        <w:rPr>
          <w:rFonts w:ascii="Tahoma" w:hAnsi="Tahoma" w:cs="Tahoma"/>
          <w:lang w:val="es-MX"/>
        </w:rPr>
      </w:pPr>
    </w:p>
    <w:p w:rsidR="00E26AA7" w:rsidRPr="00E26AA7" w:rsidRDefault="00E26AA7" w:rsidP="00E26AA7">
      <w:pPr>
        <w:pStyle w:val="Prrafodelista"/>
        <w:numPr>
          <w:ilvl w:val="0"/>
          <w:numId w:val="4"/>
        </w:numPr>
        <w:ind w:left="567" w:hanging="567"/>
        <w:jc w:val="both"/>
        <w:rPr>
          <w:rFonts w:ascii="Tahoma" w:hAnsi="Tahoma" w:cs="Tahoma"/>
        </w:rPr>
      </w:pPr>
      <w:r w:rsidRPr="00E26AA7">
        <w:rPr>
          <w:rFonts w:ascii="Tahoma" w:hAnsi="Tahoma" w:cs="Tahoma"/>
          <w:lang w:val="es-MX"/>
        </w:rPr>
        <w:t>Sin perjuicio de lo expuesto, la Entidad se encuentra plenamente facultada para adoptar las medidas legales que estime conveniente en salvaguarda de los intereses del Estado.</w:t>
      </w:r>
    </w:p>
    <w:p w:rsidR="001776B6" w:rsidRPr="00E26AA7" w:rsidRDefault="001776B6" w:rsidP="00E26AA7">
      <w:pPr>
        <w:pStyle w:val="Prrafodelista"/>
        <w:jc w:val="both"/>
        <w:rPr>
          <w:rFonts w:ascii="Tahoma" w:hAnsi="Tahoma" w:cs="Tahoma"/>
        </w:rPr>
      </w:pPr>
    </w:p>
    <w:p w:rsidR="00DA127C" w:rsidRPr="00E26AA7" w:rsidRDefault="00DA127C" w:rsidP="00E26AA7">
      <w:pPr>
        <w:ind w:left="567" w:firstLine="567"/>
        <w:jc w:val="both"/>
        <w:rPr>
          <w:rFonts w:ascii="Tahoma" w:hAnsi="Tahoma" w:cs="Tahoma"/>
          <w:sz w:val="20"/>
          <w:szCs w:val="20"/>
        </w:rPr>
      </w:pPr>
      <w:r w:rsidRPr="00E26AA7">
        <w:rPr>
          <w:rFonts w:ascii="Tahoma" w:hAnsi="Tahoma" w:cs="Tahoma"/>
          <w:color w:val="000000"/>
          <w:sz w:val="20"/>
          <w:szCs w:val="20"/>
        </w:rPr>
        <w:lastRenderedPageBreak/>
        <w:t xml:space="preserve">Por estos fundamentos, de conformidad con el informe del Vocal Ponente </w:t>
      </w:r>
      <w:r w:rsidRPr="00E26AA7">
        <w:rPr>
          <w:rFonts w:ascii="Tahoma" w:hAnsi="Tahoma" w:cs="Tahoma"/>
          <w:sz w:val="20"/>
          <w:szCs w:val="20"/>
        </w:rPr>
        <w:t>Doctor Carlos Vicente Navas Rondón</w:t>
      </w:r>
      <w:r w:rsidRPr="00E26AA7">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E26AA7" w:rsidRDefault="00E13E6B" w:rsidP="00E26AA7">
      <w:pPr>
        <w:jc w:val="both"/>
        <w:rPr>
          <w:rFonts w:ascii="Tahoma" w:hAnsi="Tahoma" w:cs="Tahoma"/>
          <w:sz w:val="20"/>
          <w:szCs w:val="20"/>
        </w:rPr>
      </w:pPr>
    </w:p>
    <w:p w:rsidR="00DD1154" w:rsidRPr="00E26AA7" w:rsidRDefault="00DD1154" w:rsidP="00E26AA7">
      <w:pPr>
        <w:jc w:val="both"/>
        <w:rPr>
          <w:rFonts w:ascii="Tahoma" w:hAnsi="Tahoma" w:cs="Tahoma"/>
          <w:sz w:val="20"/>
          <w:szCs w:val="20"/>
        </w:rPr>
      </w:pPr>
    </w:p>
    <w:p w:rsidR="00E13E6B" w:rsidRPr="00E26AA7" w:rsidRDefault="00E13E6B" w:rsidP="00E26AA7">
      <w:pPr>
        <w:ind w:firstLine="567"/>
        <w:jc w:val="both"/>
        <w:rPr>
          <w:rFonts w:ascii="Tahoma" w:hAnsi="Tahoma" w:cs="Tahoma"/>
          <w:b/>
          <w:sz w:val="20"/>
          <w:szCs w:val="20"/>
        </w:rPr>
      </w:pPr>
      <w:r w:rsidRPr="00E26AA7">
        <w:rPr>
          <w:rFonts w:ascii="Tahoma" w:hAnsi="Tahoma" w:cs="Tahoma"/>
          <w:b/>
          <w:sz w:val="20"/>
          <w:szCs w:val="20"/>
        </w:rPr>
        <w:t xml:space="preserve">LA SALA RESUELVE: </w:t>
      </w:r>
    </w:p>
    <w:p w:rsidR="00E13E6B" w:rsidRPr="00E26AA7" w:rsidRDefault="00E13E6B" w:rsidP="00E26AA7">
      <w:pPr>
        <w:ind w:left="400"/>
        <w:jc w:val="both"/>
        <w:rPr>
          <w:rFonts w:ascii="Tahoma" w:hAnsi="Tahoma" w:cs="Tahoma"/>
          <w:snapToGrid w:val="0"/>
          <w:sz w:val="20"/>
          <w:szCs w:val="20"/>
        </w:rPr>
      </w:pPr>
    </w:p>
    <w:p w:rsidR="00E26AA7" w:rsidRPr="00E26AA7" w:rsidRDefault="00E26AA7" w:rsidP="00E26AA7">
      <w:pPr>
        <w:ind w:left="567"/>
        <w:jc w:val="both"/>
        <w:rPr>
          <w:rFonts w:ascii="Tahoma" w:hAnsi="Tahoma" w:cs="Tahoma"/>
          <w:sz w:val="20"/>
          <w:szCs w:val="20"/>
        </w:rPr>
      </w:pPr>
      <w:r w:rsidRPr="00E26AA7">
        <w:rPr>
          <w:rFonts w:ascii="Tahoma" w:hAnsi="Tahoma" w:cs="Tahoma"/>
          <w:sz w:val="20"/>
          <w:szCs w:val="20"/>
        </w:rPr>
        <w:t>Declarar que carece de objeto que el Tribunal emita pronunciamiento respecto a la responsabilidad de la empresa JUMDI S.A.C. por la supuesta comisión de la infracción tipificada en el literal b) del numeral 51.1 del artículo 51 de la Ley de Contrataciones del Estado, concordante en el literal b) del numeral 1) del artículo 237 del Reglamento de la Ley, norma vigente al momento de suscitado los hechos, por los fundamentos expuestos.</w:t>
      </w:r>
    </w:p>
    <w:p w:rsidR="00E13E6B" w:rsidRPr="00E26AA7" w:rsidRDefault="00E13E6B" w:rsidP="00E26AA7">
      <w:pPr>
        <w:pStyle w:val="Prrafodelista"/>
        <w:jc w:val="both"/>
        <w:rPr>
          <w:rFonts w:ascii="Tahoma" w:hAnsi="Tahoma" w:cs="Tahoma"/>
        </w:rPr>
      </w:pPr>
    </w:p>
    <w:p w:rsidR="00E13E6B" w:rsidRPr="00E26AA7" w:rsidRDefault="00E13E6B" w:rsidP="00E26AA7">
      <w:pPr>
        <w:pStyle w:val="Textoindependiente21"/>
        <w:ind w:firstLine="360"/>
        <w:rPr>
          <w:rFonts w:cs="Tahoma"/>
          <w:sz w:val="20"/>
        </w:rPr>
      </w:pPr>
      <w:r w:rsidRPr="00E26AA7">
        <w:rPr>
          <w:rFonts w:cs="Tahoma"/>
          <w:sz w:val="20"/>
        </w:rPr>
        <w:t>Regístrese, comuníquese y publíquese.</w:t>
      </w:r>
    </w:p>
    <w:p w:rsidR="00E13E6B" w:rsidRPr="00E26AA7" w:rsidRDefault="00E13E6B" w:rsidP="00E26AA7">
      <w:pPr>
        <w:jc w:val="both"/>
        <w:rPr>
          <w:rFonts w:ascii="Tahoma" w:hAnsi="Tahoma" w:cs="Tahoma"/>
          <w:b/>
          <w:bCs/>
          <w:shadow/>
          <w:sz w:val="20"/>
          <w:szCs w:val="20"/>
        </w:rPr>
      </w:pPr>
    </w:p>
    <w:p w:rsidR="00A52C81" w:rsidRPr="00E26AA7" w:rsidRDefault="00A52C81" w:rsidP="00E26AA7">
      <w:pPr>
        <w:jc w:val="both"/>
        <w:rPr>
          <w:rFonts w:ascii="Tahoma" w:hAnsi="Tahoma" w:cs="Tahoma"/>
          <w:b/>
          <w:bCs/>
          <w:shadow/>
          <w:sz w:val="20"/>
          <w:szCs w:val="20"/>
        </w:rPr>
      </w:pPr>
    </w:p>
    <w:p w:rsidR="006E5BF8" w:rsidRPr="00E26AA7" w:rsidRDefault="006E5BF8" w:rsidP="00E26AA7">
      <w:pPr>
        <w:jc w:val="both"/>
        <w:rPr>
          <w:rFonts w:ascii="Tahoma" w:hAnsi="Tahoma" w:cs="Tahoma"/>
          <w:b/>
          <w:bCs/>
          <w:shadow/>
          <w:sz w:val="20"/>
          <w:szCs w:val="20"/>
        </w:rPr>
      </w:pPr>
    </w:p>
    <w:p w:rsidR="00DA127C" w:rsidRPr="00E26AA7" w:rsidRDefault="00DA127C" w:rsidP="00E26AA7">
      <w:pPr>
        <w:jc w:val="both"/>
        <w:rPr>
          <w:rFonts w:ascii="Tahoma" w:hAnsi="Tahoma" w:cs="Tahoma"/>
          <w:b/>
          <w:bCs/>
          <w:shadow/>
          <w:sz w:val="20"/>
          <w:szCs w:val="20"/>
        </w:rPr>
      </w:pPr>
    </w:p>
    <w:p w:rsidR="00DA127C" w:rsidRPr="00E26AA7" w:rsidRDefault="00DA127C" w:rsidP="00E26AA7">
      <w:pPr>
        <w:jc w:val="both"/>
        <w:rPr>
          <w:rFonts w:ascii="Tahoma" w:hAnsi="Tahoma" w:cs="Tahoma"/>
          <w:b/>
          <w:bCs/>
          <w:shadow/>
          <w:sz w:val="20"/>
          <w:szCs w:val="20"/>
        </w:rPr>
      </w:pPr>
    </w:p>
    <w:p w:rsidR="00DA127C" w:rsidRPr="00E26AA7" w:rsidRDefault="00DA127C" w:rsidP="00E26AA7">
      <w:pPr>
        <w:jc w:val="both"/>
        <w:rPr>
          <w:rFonts w:ascii="Tahoma" w:hAnsi="Tahoma" w:cs="Tahoma"/>
          <w:b/>
          <w:bCs/>
          <w:shadow/>
          <w:sz w:val="20"/>
          <w:szCs w:val="20"/>
        </w:rPr>
      </w:pPr>
    </w:p>
    <w:p w:rsidR="00EC4953" w:rsidRPr="00E26AA7" w:rsidRDefault="00EC4953" w:rsidP="00E26AA7">
      <w:pPr>
        <w:jc w:val="center"/>
        <w:rPr>
          <w:rFonts w:ascii="Tahoma" w:hAnsi="Tahoma" w:cs="Tahoma"/>
          <w:b/>
          <w:bCs/>
          <w:shadow/>
          <w:sz w:val="20"/>
          <w:szCs w:val="20"/>
        </w:rPr>
      </w:pPr>
    </w:p>
    <w:p w:rsidR="00E13E6B" w:rsidRPr="00E26AA7" w:rsidRDefault="00E13E6B" w:rsidP="00E26AA7">
      <w:pPr>
        <w:jc w:val="center"/>
        <w:rPr>
          <w:rFonts w:ascii="Tahoma" w:hAnsi="Tahoma" w:cs="Tahoma"/>
          <w:b/>
          <w:bCs/>
          <w:shadow/>
          <w:sz w:val="20"/>
          <w:szCs w:val="20"/>
        </w:rPr>
      </w:pPr>
      <w:r w:rsidRPr="00E26AA7">
        <w:rPr>
          <w:rFonts w:ascii="Tahoma" w:hAnsi="Tahoma" w:cs="Tahoma"/>
          <w:b/>
          <w:bCs/>
          <w:shadow/>
          <w:sz w:val="20"/>
          <w:szCs w:val="20"/>
        </w:rPr>
        <w:t>PRESIDENTE</w:t>
      </w:r>
    </w:p>
    <w:p w:rsidR="00E13E6B" w:rsidRPr="00E26AA7" w:rsidRDefault="00E13E6B" w:rsidP="00E26AA7">
      <w:pPr>
        <w:jc w:val="center"/>
        <w:rPr>
          <w:rFonts w:ascii="Tahoma" w:hAnsi="Tahoma" w:cs="Tahoma"/>
          <w:b/>
          <w:bCs/>
          <w:shadow/>
          <w:sz w:val="20"/>
          <w:szCs w:val="20"/>
        </w:rPr>
      </w:pPr>
    </w:p>
    <w:p w:rsidR="00E13E6B" w:rsidRPr="00E26AA7" w:rsidRDefault="00E13E6B" w:rsidP="00E26AA7">
      <w:pPr>
        <w:jc w:val="center"/>
        <w:rPr>
          <w:rFonts w:ascii="Tahoma" w:hAnsi="Tahoma" w:cs="Tahoma"/>
          <w:b/>
          <w:bCs/>
          <w:shadow/>
          <w:sz w:val="20"/>
          <w:szCs w:val="20"/>
        </w:rPr>
      </w:pPr>
    </w:p>
    <w:p w:rsidR="00DA127C" w:rsidRPr="00E26AA7" w:rsidRDefault="00DA127C" w:rsidP="00E26AA7">
      <w:pPr>
        <w:jc w:val="center"/>
        <w:rPr>
          <w:rFonts w:ascii="Tahoma" w:hAnsi="Tahoma" w:cs="Tahoma"/>
          <w:b/>
          <w:bCs/>
          <w:shadow/>
          <w:sz w:val="20"/>
          <w:szCs w:val="20"/>
        </w:rPr>
      </w:pPr>
    </w:p>
    <w:p w:rsidR="00DA127C" w:rsidRPr="00E26AA7" w:rsidRDefault="00DA127C" w:rsidP="00E26AA7">
      <w:pPr>
        <w:jc w:val="center"/>
        <w:rPr>
          <w:rFonts w:ascii="Tahoma" w:hAnsi="Tahoma" w:cs="Tahoma"/>
          <w:b/>
          <w:bCs/>
          <w:shadow/>
          <w:sz w:val="20"/>
          <w:szCs w:val="20"/>
        </w:rPr>
      </w:pPr>
    </w:p>
    <w:p w:rsidR="00E13E6B" w:rsidRPr="00E26AA7" w:rsidRDefault="00E13E6B" w:rsidP="00E26AA7">
      <w:pPr>
        <w:jc w:val="center"/>
        <w:rPr>
          <w:rFonts w:ascii="Tahoma" w:hAnsi="Tahoma" w:cs="Tahoma"/>
          <w:b/>
          <w:bCs/>
          <w:shadow/>
          <w:sz w:val="20"/>
          <w:szCs w:val="20"/>
        </w:rPr>
      </w:pPr>
    </w:p>
    <w:p w:rsidR="00E13E6B" w:rsidRPr="00E26AA7" w:rsidRDefault="00E13E6B" w:rsidP="00E26AA7">
      <w:pPr>
        <w:jc w:val="center"/>
        <w:rPr>
          <w:rFonts w:ascii="Tahoma" w:hAnsi="Tahoma" w:cs="Tahoma"/>
          <w:b/>
          <w:shadow/>
          <w:sz w:val="20"/>
          <w:szCs w:val="20"/>
        </w:rPr>
      </w:pPr>
      <w:r w:rsidRPr="00E26AA7">
        <w:rPr>
          <w:rFonts w:ascii="Tahoma" w:hAnsi="Tahoma" w:cs="Tahoma"/>
          <w:b/>
          <w:shadow/>
          <w:sz w:val="20"/>
          <w:szCs w:val="20"/>
        </w:rPr>
        <w:t xml:space="preserve">VOCAL           </w:t>
      </w:r>
      <w:r w:rsidRPr="00E26AA7">
        <w:rPr>
          <w:rFonts w:ascii="Tahoma" w:hAnsi="Tahoma" w:cs="Tahoma"/>
          <w:b/>
          <w:shadow/>
          <w:sz w:val="20"/>
          <w:szCs w:val="20"/>
        </w:rPr>
        <w:tab/>
      </w:r>
      <w:r w:rsidRPr="00E26AA7">
        <w:rPr>
          <w:rFonts w:ascii="Tahoma" w:hAnsi="Tahoma" w:cs="Tahoma"/>
          <w:b/>
          <w:shadow/>
          <w:sz w:val="20"/>
          <w:szCs w:val="20"/>
        </w:rPr>
        <w:tab/>
        <w:t xml:space="preserve">                                                                VOCAL</w:t>
      </w:r>
    </w:p>
    <w:p w:rsidR="00635F2E" w:rsidRPr="00E26AA7" w:rsidRDefault="00635F2E" w:rsidP="00E26AA7">
      <w:pPr>
        <w:jc w:val="both"/>
        <w:rPr>
          <w:rFonts w:ascii="Tahoma" w:hAnsi="Tahoma" w:cs="Tahoma"/>
          <w:sz w:val="20"/>
          <w:szCs w:val="20"/>
        </w:rPr>
      </w:pPr>
    </w:p>
    <w:p w:rsidR="00635F2E" w:rsidRPr="00E26AA7" w:rsidRDefault="00635F2E" w:rsidP="00E26AA7">
      <w:pPr>
        <w:jc w:val="both"/>
        <w:rPr>
          <w:rFonts w:ascii="Tahoma" w:hAnsi="Tahoma" w:cs="Tahoma"/>
          <w:sz w:val="20"/>
          <w:szCs w:val="20"/>
        </w:rPr>
      </w:pPr>
    </w:p>
    <w:p w:rsidR="00635F2E" w:rsidRPr="00E26AA7" w:rsidRDefault="00635F2E" w:rsidP="00E26AA7">
      <w:pPr>
        <w:jc w:val="both"/>
        <w:rPr>
          <w:rFonts w:ascii="Tahoma" w:hAnsi="Tahoma" w:cs="Tahoma"/>
          <w:sz w:val="20"/>
          <w:szCs w:val="20"/>
        </w:rPr>
      </w:pPr>
    </w:p>
    <w:p w:rsidR="00E13E6B" w:rsidRPr="00E26AA7" w:rsidRDefault="00E13E6B" w:rsidP="00E26AA7">
      <w:pPr>
        <w:jc w:val="both"/>
        <w:rPr>
          <w:rFonts w:ascii="Tahoma" w:hAnsi="Tahoma" w:cs="Tahoma"/>
          <w:sz w:val="20"/>
          <w:szCs w:val="20"/>
        </w:rPr>
      </w:pPr>
      <w:r w:rsidRPr="00E26AA7">
        <w:rPr>
          <w:rFonts w:ascii="Tahoma" w:hAnsi="Tahoma" w:cs="Tahoma"/>
          <w:sz w:val="20"/>
          <w:szCs w:val="20"/>
        </w:rPr>
        <w:t>ss.</w:t>
      </w:r>
    </w:p>
    <w:p w:rsidR="00351F6F" w:rsidRPr="00E26AA7" w:rsidRDefault="00351F6F" w:rsidP="00E26AA7">
      <w:pPr>
        <w:jc w:val="both"/>
        <w:rPr>
          <w:rFonts w:ascii="Tahoma" w:hAnsi="Tahoma" w:cs="Tahoma"/>
          <w:sz w:val="20"/>
          <w:szCs w:val="20"/>
        </w:rPr>
      </w:pPr>
      <w:r w:rsidRPr="00E26AA7">
        <w:rPr>
          <w:rFonts w:ascii="Tahoma" w:hAnsi="Tahoma" w:cs="Tahoma"/>
          <w:sz w:val="20"/>
          <w:szCs w:val="20"/>
        </w:rPr>
        <w:t>Navas Rondón</w:t>
      </w:r>
    </w:p>
    <w:p w:rsidR="00351F6F" w:rsidRPr="00E26AA7" w:rsidRDefault="00351F6F" w:rsidP="00E26AA7">
      <w:pPr>
        <w:jc w:val="both"/>
        <w:rPr>
          <w:rFonts w:ascii="Tahoma" w:hAnsi="Tahoma" w:cs="Tahoma"/>
          <w:color w:val="000000"/>
          <w:sz w:val="20"/>
          <w:szCs w:val="20"/>
        </w:rPr>
      </w:pPr>
      <w:r w:rsidRPr="00E26AA7">
        <w:rPr>
          <w:rFonts w:ascii="Tahoma" w:hAnsi="Tahoma" w:cs="Tahoma"/>
          <w:color w:val="000000"/>
          <w:sz w:val="20"/>
          <w:szCs w:val="20"/>
        </w:rPr>
        <w:t xml:space="preserve">Ramírez Maynetto </w:t>
      </w:r>
    </w:p>
    <w:p w:rsidR="00351F6F" w:rsidRPr="00E26AA7" w:rsidRDefault="00351F6F" w:rsidP="00E26AA7">
      <w:pPr>
        <w:jc w:val="both"/>
        <w:rPr>
          <w:rFonts w:ascii="Tahoma" w:hAnsi="Tahoma" w:cs="Tahoma"/>
          <w:sz w:val="20"/>
          <w:szCs w:val="20"/>
        </w:rPr>
      </w:pPr>
      <w:r w:rsidRPr="00E26AA7">
        <w:rPr>
          <w:rFonts w:ascii="Tahoma" w:hAnsi="Tahoma" w:cs="Tahoma"/>
          <w:sz w:val="20"/>
          <w:szCs w:val="20"/>
        </w:rPr>
        <w:t>Basulto Liewald.</w:t>
      </w:r>
    </w:p>
    <w:p w:rsidR="002C6D86" w:rsidRPr="00E26AA7" w:rsidRDefault="006F54A3" w:rsidP="00E26AA7">
      <w:pPr>
        <w:jc w:val="both"/>
        <w:rPr>
          <w:rFonts w:ascii="Tahoma" w:hAnsi="Tahoma" w:cs="Tahoma"/>
          <w:sz w:val="20"/>
          <w:szCs w:val="20"/>
        </w:rPr>
      </w:pPr>
    </w:p>
    <w:sectPr w:rsidR="002C6D86" w:rsidRPr="00E26AA7"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4A3" w:rsidRDefault="006F54A3" w:rsidP="00E13E6B">
      <w:r>
        <w:separator/>
      </w:r>
    </w:p>
  </w:endnote>
  <w:endnote w:type="continuationSeparator" w:id="1">
    <w:p w:rsidR="006F54A3" w:rsidRDefault="006F54A3"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6F54A3" w:rsidP="00E066F0">
    <w:pPr>
      <w:pStyle w:val="Piedepgina"/>
      <w:jc w:val="center"/>
    </w:pPr>
  </w:p>
  <w:p w:rsidR="00E066F0" w:rsidRDefault="005B0EEA" w:rsidP="00E066F0">
    <w:pPr>
      <w:pStyle w:val="Piedepgina"/>
      <w:jc w:val="center"/>
    </w:pPr>
    <w:r>
      <w:t xml:space="preserve">Página </w:t>
    </w:r>
    <w:r w:rsidR="00452612">
      <w:fldChar w:fldCharType="begin"/>
    </w:r>
    <w:r>
      <w:instrText>PAGE</w:instrText>
    </w:r>
    <w:r w:rsidR="00452612">
      <w:fldChar w:fldCharType="separate"/>
    </w:r>
    <w:r w:rsidR="00282148">
      <w:rPr>
        <w:noProof/>
      </w:rPr>
      <w:t>1</w:t>
    </w:r>
    <w:r w:rsidR="00452612">
      <w:fldChar w:fldCharType="end"/>
    </w:r>
    <w:r w:rsidRPr="006214E4">
      <w:t xml:space="preserve"> de </w:t>
    </w:r>
    <w:r w:rsidR="00452612">
      <w:fldChar w:fldCharType="begin"/>
    </w:r>
    <w:r>
      <w:instrText>NUMPAGES</w:instrText>
    </w:r>
    <w:r w:rsidR="00452612">
      <w:fldChar w:fldCharType="separate"/>
    </w:r>
    <w:r w:rsidR="00282148">
      <w:rPr>
        <w:noProof/>
      </w:rPr>
      <w:t>6</w:t>
    </w:r>
    <w:r w:rsidR="00452612">
      <w:fldChar w:fldCharType="end"/>
    </w:r>
  </w:p>
  <w:p w:rsidR="00E066F0" w:rsidRPr="00223795" w:rsidRDefault="006F54A3"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4A3" w:rsidRDefault="006F54A3" w:rsidP="00E13E6B">
      <w:r>
        <w:separator/>
      </w:r>
    </w:p>
  </w:footnote>
  <w:footnote w:type="continuationSeparator" w:id="1">
    <w:p w:rsidR="006F54A3" w:rsidRDefault="006F54A3" w:rsidP="00E13E6B">
      <w:r>
        <w:continuationSeparator/>
      </w:r>
    </w:p>
  </w:footnote>
  <w:footnote w:id="2">
    <w:p w:rsidR="00E26AA7" w:rsidRPr="00227330" w:rsidRDefault="00E26AA7" w:rsidP="00E26AA7">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E26AA7" w:rsidRPr="00227330" w:rsidRDefault="00E26AA7" w:rsidP="00E26AA7">
      <w:pPr>
        <w:pStyle w:val="Textonotapie"/>
        <w:jc w:val="both"/>
        <w:rPr>
          <w:sz w:val="15"/>
          <w:szCs w:val="15"/>
        </w:rPr>
      </w:pPr>
      <w:r w:rsidRPr="00227330">
        <w:rPr>
          <w:sz w:val="15"/>
          <w:szCs w:val="15"/>
        </w:rPr>
        <w:t>51.1 Infracciones</w:t>
      </w:r>
    </w:p>
    <w:p w:rsidR="00E26AA7" w:rsidRPr="00227330" w:rsidRDefault="00E26AA7" w:rsidP="00E26AA7">
      <w:pPr>
        <w:pStyle w:val="Textonotapie"/>
        <w:jc w:val="both"/>
        <w:rPr>
          <w:sz w:val="15"/>
          <w:szCs w:val="15"/>
        </w:rPr>
      </w:pPr>
      <w:r w:rsidRPr="00227330">
        <w:rPr>
          <w:sz w:val="15"/>
          <w:szCs w:val="15"/>
        </w:rPr>
        <w:t>Se impondrá sanción administrativa a los proveedores, participantes, postores y/o contratistas que:</w:t>
      </w:r>
    </w:p>
    <w:p w:rsidR="00E26AA7" w:rsidRPr="00227330" w:rsidRDefault="00E26AA7" w:rsidP="00E26AA7">
      <w:pPr>
        <w:pStyle w:val="Textonotapie"/>
        <w:jc w:val="both"/>
        <w:rPr>
          <w:sz w:val="15"/>
          <w:szCs w:val="15"/>
        </w:rPr>
      </w:pPr>
      <w:r w:rsidRPr="00227330">
        <w:rPr>
          <w:sz w:val="15"/>
          <w:szCs w:val="15"/>
        </w:rPr>
        <w:t>(…)</w:t>
      </w:r>
    </w:p>
    <w:p w:rsidR="00E26AA7" w:rsidRPr="00227330" w:rsidRDefault="00E26AA7" w:rsidP="00E26AA7">
      <w:pPr>
        <w:pStyle w:val="Textonotapie"/>
        <w:jc w:val="both"/>
        <w:rPr>
          <w:sz w:val="15"/>
          <w:szCs w:val="15"/>
        </w:rPr>
      </w:pPr>
      <w:r w:rsidRPr="00227330">
        <w:rPr>
          <w:sz w:val="15"/>
          <w:szCs w:val="15"/>
        </w:rPr>
        <w:t>b) Den lugar a la resolución del contrato, orden de compra o de servicios por causal atribuible a su  parte;</w:t>
      </w:r>
    </w:p>
  </w:footnote>
  <w:footnote w:id="3">
    <w:p w:rsidR="00E26AA7" w:rsidRPr="00227330" w:rsidRDefault="00E26AA7" w:rsidP="00E26AA7">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E26AA7" w:rsidRPr="00227330" w:rsidRDefault="00E26AA7" w:rsidP="00E26AA7">
      <w:pPr>
        <w:pStyle w:val="Textonotapie"/>
        <w:jc w:val="both"/>
        <w:rPr>
          <w:sz w:val="15"/>
          <w:szCs w:val="15"/>
        </w:rPr>
      </w:pPr>
      <w:r w:rsidRPr="00227330">
        <w:rPr>
          <w:sz w:val="15"/>
          <w:szCs w:val="15"/>
        </w:rPr>
        <w:t>El Tribunal impondrá la sanción administrativa de inhabilitación temporal o definitiva a los proveedores, participantes, postores y/o contratistas que:</w:t>
      </w:r>
    </w:p>
    <w:p w:rsidR="00E26AA7" w:rsidRPr="00227330" w:rsidRDefault="00E26AA7" w:rsidP="00E26AA7">
      <w:pPr>
        <w:pStyle w:val="Textonotapie"/>
        <w:jc w:val="both"/>
        <w:rPr>
          <w:sz w:val="15"/>
          <w:szCs w:val="15"/>
        </w:rPr>
      </w:pPr>
      <w:r w:rsidRPr="00227330">
        <w:rPr>
          <w:sz w:val="15"/>
          <w:szCs w:val="15"/>
        </w:rPr>
        <w:t>(…)</w:t>
      </w:r>
    </w:p>
    <w:p w:rsidR="00E26AA7" w:rsidRPr="00237395" w:rsidRDefault="00E26AA7" w:rsidP="00E26AA7">
      <w:pPr>
        <w:pStyle w:val="Textonotapie"/>
        <w:jc w:val="both"/>
        <w:rPr>
          <w:sz w:val="18"/>
          <w:szCs w:val="18"/>
        </w:rPr>
      </w:pPr>
      <w:r w:rsidRPr="00227330">
        <w:rPr>
          <w:sz w:val="15"/>
          <w:szCs w:val="15"/>
        </w:rPr>
        <w:t>2) Den lugar a la resolución del contrato, orden de compra o de servicios por causal atribuible a su parte.</w:t>
      </w:r>
    </w:p>
  </w:footnote>
  <w:footnote w:id="4">
    <w:p w:rsidR="00E26AA7" w:rsidRPr="006A3728" w:rsidRDefault="00E26AA7" w:rsidP="00E26AA7">
      <w:pPr>
        <w:pStyle w:val="Textonotapie"/>
        <w:rPr>
          <w:rFonts w:cs="Tahoma"/>
          <w:sz w:val="14"/>
          <w:szCs w:val="14"/>
        </w:rPr>
      </w:pPr>
      <w:r w:rsidRPr="006A3728">
        <w:rPr>
          <w:rStyle w:val="Refdenotaalpie"/>
          <w:rFonts w:cs="Tahoma"/>
          <w:sz w:val="14"/>
          <w:szCs w:val="14"/>
        </w:rPr>
        <w:footnoteRef/>
      </w:r>
      <w:r w:rsidRPr="006A3728">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E26AA7" w:rsidRPr="00CD30A1" w:rsidRDefault="00E26AA7" w:rsidP="00E26AA7">
      <w:pPr>
        <w:pStyle w:val="Textonotapie"/>
        <w:rPr>
          <w:rFonts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148" w:rsidRDefault="00282148" w:rsidP="0028214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82148" w:rsidRDefault="00282148" w:rsidP="00282148">
    <w:pPr>
      <w:pStyle w:val="Encabezado"/>
      <w:rPr>
        <w:noProof/>
      </w:rPr>
    </w:pPr>
  </w:p>
  <w:p w:rsidR="00282148" w:rsidRDefault="00282148" w:rsidP="00282148">
    <w:pPr>
      <w:pStyle w:val="Encabezado"/>
      <w:rPr>
        <w:noProof/>
      </w:rPr>
    </w:pPr>
  </w:p>
  <w:p w:rsidR="00282148" w:rsidRDefault="00282148" w:rsidP="00282148">
    <w:pPr>
      <w:pStyle w:val="Encabezado"/>
      <w:rPr>
        <w:noProof/>
      </w:rPr>
    </w:pPr>
  </w:p>
  <w:p w:rsidR="00282148" w:rsidRDefault="00282148" w:rsidP="00282148">
    <w:pPr>
      <w:pStyle w:val="Encabezado"/>
      <w:jc w:val="center"/>
    </w:pPr>
    <w:r>
      <w:rPr>
        <w:rFonts w:ascii="Monotype Corsiva" w:hAnsi="Monotype Corsiva"/>
        <w:b/>
        <w:sz w:val="44"/>
        <w:szCs w:val="44"/>
      </w:rPr>
      <w:t xml:space="preserve">Resolución Nº   </w:t>
    </w:r>
    <w:r>
      <w:rPr>
        <w:rFonts w:ascii="Tahoma" w:hAnsi="Tahoma" w:cs="Tahoma"/>
        <w:b/>
        <w:sz w:val="44"/>
        <w:szCs w:val="44"/>
      </w:rPr>
      <w:t>989-2011-TC-S1</w:t>
    </w:r>
  </w:p>
  <w:p w:rsidR="00282148" w:rsidRDefault="0028214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0">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6"/>
  </w:num>
  <w:num w:numId="6">
    <w:abstractNumId w:val="22"/>
  </w:num>
  <w:num w:numId="7">
    <w:abstractNumId w:val="20"/>
  </w:num>
  <w:num w:numId="8">
    <w:abstractNumId w:val="25"/>
  </w:num>
  <w:num w:numId="9">
    <w:abstractNumId w:val="18"/>
  </w:num>
  <w:num w:numId="10">
    <w:abstractNumId w:val="15"/>
  </w:num>
  <w:num w:numId="11">
    <w:abstractNumId w:val="4"/>
  </w:num>
  <w:num w:numId="12">
    <w:abstractNumId w:val="11"/>
  </w:num>
  <w:num w:numId="13">
    <w:abstractNumId w:val="2"/>
  </w:num>
  <w:num w:numId="14">
    <w:abstractNumId w:val="13"/>
  </w:num>
  <w:num w:numId="15">
    <w:abstractNumId w:val="19"/>
  </w:num>
  <w:num w:numId="16">
    <w:abstractNumId w:val="10"/>
  </w:num>
  <w:num w:numId="17">
    <w:abstractNumId w:val="21"/>
  </w:num>
  <w:num w:numId="18">
    <w:abstractNumId w:val="9"/>
  </w:num>
  <w:num w:numId="19">
    <w:abstractNumId w:val="23"/>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4"/>
  </w:num>
  <w:num w:numId="27">
    <w:abstractNumId w:val="1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602"/>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82DF1"/>
    <w:rsid w:val="000B0A8A"/>
    <w:rsid w:val="000B0CEB"/>
    <w:rsid w:val="000B6C24"/>
    <w:rsid w:val="000D61B8"/>
    <w:rsid w:val="000E3E0B"/>
    <w:rsid w:val="000E5424"/>
    <w:rsid w:val="001016D9"/>
    <w:rsid w:val="00126A57"/>
    <w:rsid w:val="001337F7"/>
    <w:rsid w:val="00140241"/>
    <w:rsid w:val="00140DE4"/>
    <w:rsid w:val="00164CC7"/>
    <w:rsid w:val="001776B6"/>
    <w:rsid w:val="00187209"/>
    <w:rsid w:val="00187E2A"/>
    <w:rsid w:val="001C5BD6"/>
    <w:rsid w:val="001D44C0"/>
    <w:rsid w:val="001E448B"/>
    <w:rsid w:val="001E71F0"/>
    <w:rsid w:val="001F5C44"/>
    <w:rsid w:val="00214D5E"/>
    <w:rsid w:val="00222218"/>
    <w:rsid w:val="0022267E"/>
    <w:rsid w:val="00231184"/>
    <w:rsid w:val="0023169C"/>
    <w:rsid w:val="00254249"/>
    <w:rsid w:val="00282148"/>
    <w:rsid w:val="002837D2"/>
    <w:rsid w:val="00295C50"/>
    <w:rsid w:val="00331E1A"/>
    <w:rsid w:val="003430DE"/>
    <w:rsid w:val="00351F6F"/>
    <w:rsid w:val="00360AFE"/>
    <w:rsid w:val="003B4F9C"/>
    <w:rsid w:val="004255A5"/>
    <w:rsid w:val="00440D71"/>
    <w:rsid w:val="00442AC8"/>
    <w:rsid w:val="004515EA"/>
    <w:rsid w:val="00452612"/>
    <w:rsid w:val="00455F96"/>
    <w:rsid w:val="00466DC8"/>
    <w:rsid w:val="00484F8C"/>
    <w:rsid w:val="004C487F"/>
    <w:rsid w:val="004C5043"/>
    <w:rsid w:val="004F2CC5"/>
    <w:rsid w:val="00531D1E"/>
    <w:rsid w:val="005521E5"/>
    <w:rsid w:val="00567032"/>
    <w:rsid w:val="0057348B"/>
    <w:rsid w:val="005B0EEA"/>
    <w:rsid w:val="005B1E24"/>
    <w:rsid w:val="005E3E1C"/>
    <w:rsid w:val="005E6E6D"/>
    <w:rsid w:val="005F3C91"/>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6F54A3"/>
    <w:rsid w:val="0074555F"/>
    <w:rsid w:val="007570AE"/>
    <w:rsid w:val="00763CC8"/>
    <w:rsid w:val="00766749"/>
    <w:rsid w:val="007728C3"/>
    <w:rsid w:val="007D7DEB"/>
    <w:rsid w:val="007D7E70"/>
    <w:rsid w:val="007E4F29"/>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E51B2"/>
    <w:rsid w:val="00BE67EB"/>
    <w:rsid w:val="00C127C1"/>
    <w:rsid w:val="00C15ECB"/>
    <w:rsid w:val="00C5251B"/>
    <w:rsid w:val="00C8148D"/>
    <w:rsid w:val="00C866D0"/>
    <w:rsid w:val="00CB4799"/>
    <w:rsid w:val="00CC3859"/>
    <w:rsid w:val="00CC52A3"/>
    <w:rsid w:val="00D002B4"/>
    <w:rsid w:val="00D005C0"/>
    <w:rsid w:val="00D069FF"/>
    <w:rsid w:val="00D115F8"/>
    <w:rsid w:val="00D13BC9"/>
    <w:rsid w:val="00D43251"/>
    <w:rsid w:val="00D445DC"/>
    <w:rsid w:val="00DA127C"/>
    <w:rsid w:val="00DA2C25"/>
    <w:rsid w:val="00DC3001"/>
    <w:rsid w:val="00DD1154"/>
    <w:rsid w:val="00DD589B"/>
    <w:rsid w:val="00E124B8"/>
    <w:rsid w:val="00E13E6B"/>
    <w:rsid w:val="00E1470E"/>
    <w:rsid w:val="00E26AA7"/>
    <w:rsid w:val="00E633EF"/>
    <w:rsid w:val="00E77676"/>
    <w:rsid w:val="00E964AA"/>
    <w:rsid w:val="00EC4953"/>
    <w:rsid w:val="00EE4815"/>
    <w:rsid w:val="00EE7A6B"/>
    <w:rsid w:val="00F3647A"/>
    <w:rsid w:val="00F4438A"/>
    <w:rsid w:val="00F50510"/>
    <w:rsid w:val="00F66D53"/>
    <w:rsid w:val="00F77525"/>
    <w:rsid w:val="00F95796"/>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styleId="Encabezado">
    <w:name w:val="header"/>
    <w:aliases w:val="maria,h"/>
    <w:basedOn w:val="Normal"/>
    <w:link w:val="EncabezadoCar"/>
    <w:uiPriority w:val="99"/>
    <w:semiHidden/>
    <w:unhideWhenUsed/>
    <w:rsid w:val="0028214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82148"/>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6740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2364</Words>
  <Characters>13008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119</cp:revision>
  <cp:lastPrinted>2011-06-07T14:52:00Z</cp:lastPrinted>
  <dcterms:created xsi:type="dcterms:W3CDTF">2010-04-16T12:41:00Z</dcterms:created>
  <dcterms:modified xsi:type="dcterms:W3CDTF">2011-07-21T14:13:00Z</dcterms:modified>
</cp:coreProperties>
</file>